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1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2"/>
        <w:gridCol w:w="756"/>
        <w:gridCol w:w="2471"/>
        <w:gridCol w:w="2029"/>
        <w:gridCol w:w="2410"/>
        <w:gridCol w:w="1134"/>
        <w:gridCol w:w="4507"/>
      </w:tblGrid>
      <w:tr w:rsidR="00176BA0" w:rsidRPr="00176BA0" w:rsidTr="004D465C">
        <w:trPr>
          <w:trHeight w:val="945"/>
        </w:trPr>
        <w:tc>
          <w:tcPr>
            <w:tcW w:w="1822"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b/>
                <w:color w:val="000000"/>
                <w:lang w:eastAsia="ru-RU"/>
              </w:rPr>
            </w:pPr>
            <w:r w:rsidRPr="00176BA0">
              <w:rPr>
                <w:rFonts w:ascii="Times New Roman" w:eastAsia="Times New Roman" w:hAnsi="Times New Roman" w:cs="Times New Roman"/>
                <w:b/>
                <w:color w:val="000000"/>
                <w:lang w:eastAsia="ru-RU"/>
              </w:rPr>
              <w:t>Наименование товара</w:t>
            </w:r>
          </w:p>
        </w:tc>
        <w:tc>
          <w:tcPr>
            <w:tcW w:w="756"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b/>
                <w:color w:val="000000"/>
                <w:lang w:eastAsia="ru-RU"/>
              </w:rPr>
            </w:pPr>
          </w:p>
        </w:tc>
        <w:tc>
          <w:tcPr>
            <w:tcW w:w="2471" w:type="dxa"/>
            <w:shd w:val="clear" w:color="auto" w:fill="auto"/>
          </w:tcPr>
          <w:p w:rsidR="00176BA0" w:rsidRPr="00176BA0" w:rsidRDefault="00176BA0" w:rsidP="00176BA0">
            <w:pPr>
              <w:spacing w:after="0" w:line="240" w:lineRule="auto"/>
              <w:rPr>
                <w:rFonts w:ascii="Times New Roman" w:eastAsia="Times New Roman" w:hAnsi="Times New Roman" w:cs="Times New Roman"/>
                <w:b/>
                <w:color w:val="000000"/>
                <w:lang w:eastAsia="ru-RU"/>
              </w:rPr>
            </w:pPr>
            <w:r w:rsidRPr="00176BA0">
              <w:rPr>
                <w:rFonts w:ascii="Times New Roman" w:eastAsia="Times New Roman" w:hAnsi="Times New Roman" w:cs="Times New Roman"/>
                <w:b/>
                <w:color w:val="000000"/>
                <w:lang w:eastAsia="ru-RU"/>
              </w:rPr>
              <w:t>Наименование показателя (неизменяемое)</w:t>
            </w:r>
          </w:p>
        </w:tc>
        <w:tc>
          <w:tcPr>
            <w:tcW w:w="2029"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b/>
                <w:color w:val="000000"/>
                <w:lang w:eastAsia="ru-RU"/>
              </w:rPr>
            </w:pPr>
            <w:r w:rsidRPr="00176BA0">
              <w:rPr>
                <w:rFonts w:ascii="Times New Roman" w:eastAsia="Times New Roman" w:hAnsi="Times New Roman" w:cs="Times New Roman"/>
                <w:b/>
                <w:color w:val="000000"/>
                <w:lang w:eastAsia="ru-RU"/>
              </w:rPr>
              <w:t>Значение показателей, которые не могут изменяться (неизменяемое)</w:t>
            </w:r>
          </w:p>
        </w:tc>
        <w:tc>
          <w:tcPr>
            <w:tcW w:w="2410" w:type="dxa"/>
          </w:tcPr>
          <w:p w:rsidR="00176BA0" w:rsidRPr="00176BA0" w:rsidRDefault="00176BA0" w:rsidP="00176BA0">
            <w:pPr>
              <w:spacing w:after="0" w:line="240" w:lineRule="auto"/>
              <w:jc w:val="center"/>
              <w:rPr>
                <w:rFonts w:ascii="Times New Roman" w:eastAsia="Times New Roman" w:hAnsi="Times New Roman" w:cs="Times New Roman"/>
                <w:b/>
                <w:color w:val="000000"/>
                <w:lang w:eastAsia="ru-RU"/>
              </w:rPr>
            </w:pPr>
            <w:r w:rsidRPr="00176BA0">
              <w:rPr>
                <w:rFonts w:ascii="Times New Roman" w:eastAsia="Times New Roman" w:hAnsi="Times New Roman" w:cs="Times New Roman"/>
                <w:b/>
                <w:color w:val="000000"/>
                <w:lang w:eastAsia="ru-RU"/>
              </w:rPr>
              <w:t>Точные (конкретные) значения показателей от участника закупки</w:t>
            </w:r>
          </w:p>
        </w:tc>
        <w:tc>
          <w:tcPr>
            <w:tcW w:w="1134" w:type="dxa"/>
            <w:shd w:val="clear" w:color="auto" w:fill="auto"/>
            <w:noWrap/>
          </w:tcPr>
          <w:p w:rsidR="00176BA0" w:rsidRPr="00176BA0" w:rsidRDefault="00176BA0" w:rsidP="00176BA0">
            <w:pPr>
              <w:spacing w:after="0" w:line="240" w:lineRule="auto"/>
              <w:jc w:val="center"/>
              <w:rPr>
                <w:rFonts w:ascii="Times New Roman" w:eastAsia="Times New Roman" w:hAnsi="Times New Roman" w:cs="Times New Roman"/>
                <w:b/>
                <w:color w:val="000000"/>
                <w:lang w:eastAsia="ru-RU"/>
              </w:rPr>
            </w:pPr>
            <w:r w:rsidRPr="00176BA0">
              <w:rPr>
                <w:rFonts w:ascii="Times New Roman" w:eastAsia="Times New Roman" w:hAnsi="Times New Roman" w:cs="Times New Roman"/>
                <w:b/>
                <w:color w:val="000000"/>
                <w:lang w:eastAsia="ru-RU"/>
              </w:rPr>
              <w:t>Ед. изм.</w:t>
            </w:r>
          </w:p>
        </w:tc>
        <w:tc>
          <w:tcPr>
            <w:tcW w:w="4507" w:type="dxa"/>
            <w:shd w:val="clear" w:color="auto" w:fill="auto"/>
          </w:tcPr>
          <w:p w:rsidR="00176BA0" w:rsidRPr="00176BA0" w:rsidRDefault="00176BA0" w:rsidP="00176BA0">
            <w:pPr>
              <w:spacing w:after="0" w:line="240" w:lineRule="auto"/>
              <w:rPr>
                <w:rFonts w:ascii="Times New Roman" w:eastAsia="Times New Roman" w:hAnsi="Times New Roman" w:cs="Times New Roman"/>
                <w:b/>
                <w:color w:val="000000"/>
                <w:lang w:eastAsia="ru-RU"/>
              </w:rPr>
            </w:pPr>
            <w:r w:rsidRPr="00176BA0">
              <w:rPr>
                <w:rFonts w:ascii="Times New Roman" w:eastAsia="Times New Roman" w:hAnsi="Times New Roman" w:cs="Times New Roman"/>
                <w:b/>
                <w:color w:val="000000"/>
                <w:lang w:eastAsia="ru-RU"/>
              </w:rPr>
              <w:t>Обоснование применения дополнительных требований</w:t>
            </w:r>
          </w:p>
          <w:p w:rsidR="00176BA0" w:rsidRPr="00176BA0" w:rsidRDefault="00176BA0" w:rsidP="00176BA0">
            <w:pPr>
              <w:spacing w:after="0" w:line="240" w:lineRule="auto"/>
              <w:jc w:val="center"/>
              <w:rPr>
                <w:rFonts w:ascii="Times New Roman" w:eastAsia="Times New Roman" w:hAnsi="Times New Roman" w:cs="Times New Roman"/>
                <w:b/>
                <w:color w:val="000000"/>
                <w:lang w:eastAsia="ru-RU"/>
              </w:rPr>
            </w:pPr>
          </w:p>
        </w:tc>
      </w:tr>
      <w:tr w:rsidR="00176BA0" w:rsidRPr="00176BA0" w:rsidTr="004D465C">
        <w:trPr>
          <w:trHeight w:val="945"/>
        </w:trPr>
        <w:tc>
          <w:tcPr>
            <w:tcW w:w="1822"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Цифровая лаборатория по химии </w:t>
            </w:r>
          </w:p>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p>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Страна происхождения Российская Федерация</w:t>
            </w: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Предметная область</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Химия</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Химия</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  26.20.40.190-00000006  цифровая лаборатория для школьников</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Тип пользователя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Обучающийся</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Обучающийся</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w:t>
            </w: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Тип передачи показаний датчиков</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Прямое подключение к устройству</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Прямое подключение к устройству</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w:t>
            </w:r>
          </w:p>
        </w:tc>
      </w:tr>
      <w:tr w:rsidR="00176BA0" w:rsidRPr="00176BA0" w:rsidTr="004D465C">
        <w:trPr>
          <w:trHeight w:val="96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Дополнительные материалы в комплекте</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Программное обеспечение, Справочно-методические материалы</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Программное обеспечение, Справочно-методические материалы</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w:t>
            </w: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Беспроводной мультидатчик по химии </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r>
      <w:tr w:rsidR="00176BA0" w:rsidRPr="00176BA0" w:rsidTr="004D465C">
        <w:trPr>
          <w:trHeight w:val="157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Возможность одновременно получать сигналы с нескольких датчиков, встроенных в корпус беспроводного мультидатчика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удобства, минимизации габаритов, эффективного использования пространства без дополнительных проводов</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Характеристики мультидатчика: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разрядность встроенной АЦП</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12</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бит</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точности измерений</w:t>
            </w: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Интерфейс подключения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Bluetooth low energy (BLE) 4.1</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val="en-US" w:eastAsia="ru-RU"/>
              </w:rPr>
            </w:pPr>
            <w:r w:rsidRPr="00176BA0">
              <w:rPr>
                <w:rFonts w:ascii="Times New Roman" w:eastAsia="Times New Roman" w:hAnsi="Times New Roman" w:cs="Times New Roman"/>
                <w:color w:val="000000"/>
                <w:lang w:val="en-US" w:eastAsia="ru-RU"/>
              </w:rPr>
              <w:t> </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удобного и быстрого прямого подключения, в т.ч. к устройствам без USB разъема</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встроенная память </w:t>
            </w:r>
            <w:r w:rsidRPr="00176BA0">
              <w:rPr>
                <w:rFonts w:ascii="Times New Roman" w:eastAsia="Times New Roman" w:hAnsi="Times New Roman" w:cs="Times New Roman"/>
                <w:color w:val="000000"/>
                <w:lang w:eastAsia="ru-RU"/>
              </w:rPr>
              <w:lastRenderedPageBreak/>
              <w:t>объемом</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lastRenderedPageBreak/>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Кбайт</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Для обеспечения автономного сбора данных </w:t>
            </w:r>
            <w:r w:rsidRPr="00176BA0">
              <w:rPr>
                <w:rFonts w:ascii="Times New Roman" w:eastAsia="Times New Roman" w:hAnsi="Times New Roman" w:cs="Times New Roman"/>
                <w:color w:val="000000"/>
                <w:lang w:eastAsia="ru-RU"/>
              </w:rPr>
              <w:lastRenderedPageBreak/>
              <w:t xml:space="preserve">в полевых условиях или в отсутствии компьютера/планшета/ноутбука </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емкость батареи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0,7</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А*ч</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номинальное напряжение батареи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3,7</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В</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контроллер заряда батареи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Статусы индикаторов беспроводного мультидатчика: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Для обеспечения информирования пользователя до сопряжения с компьютером/планшетом/ноутбуком или в автономном режиме работы </w:t>
            </w: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готовность к сопряжению мультидатчика;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157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успешное сопряжение мультидатчика с регистратором данных на котором установлена программа сбора и обработки данных;</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работа мультидатчика в режиме сбора и передачи данных;</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220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работа мультидатчика в режиме логирования (запись измеряемых данных во внутреннюю память мультидатчика, для последующего получения этих данных в программе сбора и обработки данных);</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низкий заряд аккумулятора мультидатчика.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Габаритные размеры корпуса беспроводного мультидатчика: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мобильности и компактности</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89</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Ширина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63</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Высота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27</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5.19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Разъем для подключения зарядного устройства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miniUSB (тип В)</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miniUSB (тип В)</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подзарядки и увеличения срока службы устройства</w:t>
            </w:r>
          </w:p>
        </w:tc>
      </w:tr>
      <w:tr w:rsidR="00176BA0" w:rsidRPr="00176BA0" w:rsidTr="004D465C">
        <w:trPr>
          <w:trHeight w:val="3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5.20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color w:val="000000"/>
                <w:lang w:eastAsia="ru-RU"/>
              </w:rPr>
            </w:pPr>
            <w:r w:rsidRPr="00176BA0">
              <w:rPr>
                <w:rFonts w:ascii="Times New Roman" w:eastAsia="Times New Roman" w:hAnsi="Times New Roman" w:cs="Times New Roman"/>
                <w:b/>
                <w:bCs/>
                <w:color w:val="000000"/>
                <w:lang w:eastAsia="ru-RU"/>
              </w:rPr>
              <w:t>Описание встроенных датчиков:</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color w:val="000000"/>
                <w:lang w:eastAsia="ru-RU"/>
              </w:rPr>
            </w:pPr>
            <w:r w:rsidRPr="00176BA0">
              <w:rPr>
                <w:rFonts w:ascii="Times New Roman" w:eastAsia="Times New Roman" w:hAnsi="Times New Roman" w:cs="Times New Roman"/>
                <w:b/>
                <w:bCs/>
                <w:color w:val="000000"/>
                <w:lang w:eastAsia="ru-RU"/>
              </w:rPr>
              <w:t>Датчик уровня pH</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w:t>
            </w:r>
          </w:p>
        </w:tc>
      </w:tr>
      <w:tr w:rsidR="00176BA0" w:rsidRPr="00176BA0" w:rsidTr="004D465C">
        <w:trPr>
          <w:trHeight w:val="126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Оборудован комбинированным измерительным электродом рН с разъемом BNC и буферным раствором</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Диапазон измерения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От 0 до 14</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pH</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Разрешение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0,01</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pH</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Диапазон рабочих температур</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От +10 до +80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ºС</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 измерительного электрода рН</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140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color w:val="000000"/>
                <w:lang w:eastAsia="ru-RU"/>
              </w:rPr>
            </w:pPr>
            <w:r w:rsidRPr="00176BA0">
              <w:rPr>
                <w:rFonts w:ascii="Times New Roman" w:eastAsia="Times New Roman" w:hAnsi="Times New Roman" w:cs="Times New Roman"/>
                <w:b/>
                <w:bCs/>
                <w:color w:val="000000"/>
                <w:lang w:eastAsia="ru-RU"/>
              </w:rPr>
              <w:t>Датчик температуры термопарный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w:t>
            </w: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Оснащен защитной и герметичной гильзой с термопарой и пластиковой ручкой.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w:t>
            </w:r>
            <w:r w:rsidRPr="00176BA0">
              <w:rPr>
                <w:rFonts w:ascii="Times New Roman" w:eastAsia="Times New Roman" w:hAnsi="Times New Roman" w:cs="Times New Roman"/>
                <w:color w:val="000000"/>
                <w:lang w:eastAsia="ru-RU"/>
              </w:rPr>
              <w:lastRenderedPageBreak/>
              <w:t>цифровой лаборатории.</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выносной щуп на гибком кабеле</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Диапазон измерений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От -200 до +1300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ºС</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Разрешение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0,25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ºС</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система компенсации холодного спая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Тип термопары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хромель-алюмель</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хромель-алюмель</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Время преобразования сигнала с термопары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мс</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 металлической части зонда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93</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Диаметр металлической части зонда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7.10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Диаметр разъема-штекера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color w:val="000000"/>
                <w:lang w:eastAsia="ru-RU"/>
              </w:rPr>
            </w:pPr>
            <w:r w:rsidRPr="00176BA0">
              <w:rPr>
                <w:rFonts w:ascii="Times New Roman" w:eastAsia="Times New Roman" w:hAnsi="Times New Roman" w:cs="Times New Roman"/>
                <w:b/>
                <w:bCs/>
                <w:color w:val="000000"/>
                <w:lang w:eastAsia="ru-RU"/>
              </w:rPr>
              <w:t>Датчик электрической проводимости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w:t>
            </w: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Оборудован измерительным щупом электропроводимости с разъемом BNC</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Диапазоны измерений 1</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От 0 до 200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мкСм/см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Диапазоны измерений 2</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От 0 до 2000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мкСм/см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Диапазоны измерений 3</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От 0 до 20000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мкСм/см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Разрешение для диапазона 1</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0,5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мкСм/см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Разрешение для диапазона 2</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мкСм/см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Разрешение для диапазона 3</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мкСм/см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 измерительного щупа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155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color w:val="000000"/>
                <w:lang w:eastAsia="ru-RU"/>
              </w:rPr>
            </w:pPr>
            <w:r w:rsidRPr="00176BA0">
              <w:rPr>
                <w:rFonts w:ascii="Times New Roman" w:eastAsia="Times New Roman" w:hAnsi="Times New Roman" w:cs="Times New Roman"/>
                <w:b/>
                <w:bCs/>
                <w:color w:val="000000"/>
                <w:lang w:eastAsia="ru-RU"/>
              </w:rPr>
              <w:t>Датчик температуры химический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w:t>
            </w:r>
          </w:p>
        </w:tc>
      </w:tr>
      <w:tr w:rsidR="00176BA0" w:rsidRPr="00176BA0" w:rsidTr="004D465C">
        <w:trPr>
          <w:trHeight w:val="90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Выносной герметичный температурный зонд из нержавеющей стали с хромированным покрытием</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Чувствительный элемент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платиновый термодатчик типа РТ100</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платиновый термодатчик типа РТ100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Диапазон измерения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От -40 до +180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ºС</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Разрешение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0,1</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ºС</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Толщина стенки зонда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0,5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 выносной части зонда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Диаметр зонда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Коэффициент теплопроводности термопасты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4</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Вт/(м*К)</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Диаметр разъема-штекера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9.10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iCs/>
                <w:color w:val="000000"/>
                <w:lang w:eastAsia="ru-RU"/>
              </w:rPr>
            </w:pPr>
            <w:r w:rsidRPr="00176BA0">
              <w:rPr>
                <w:rFonts w:ascii="Times New Roman" w:eastAsia="Times New Roman" w:hAnsi="Times New Roman" w:cs="Times New Roman"/>
                <w:b/>
                <w:bCs/>
                <w:iCs/>
                <w:color w:val="000000"/>
                <w:lang w:eastAsia="ru-RU"/>
              </w:rPr>
              <w:t>Отдельные датчики: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iCs/>
                <w:color w:val="000000"/>
                <w:lang w:eastAsia="ru-RU"/>
              </w:rPr>
            </w:pPr>
            <w:r w:rsidRPr="00176BA0">
              <w:rPr>
                <w:rFonts w:ascii="Times New Roman" w:eastAsia="Times New Roman" w:hAnsi="Times New Roman" w:cs="Times New Roman"/>
                <w:b/>
                <w:bCs/>
                <w:iCs/>
                <w:color w:val="000000"/>
                <w:lang w:eastAsia="ru-RU"/>
              </w:rPr>
              <w:t>Датчик-колориметр</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соответствии с КТРУ</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Габаритные размеры корпуса: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Ширина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Высота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22</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Разъем для подключения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USB (тип B)</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USB (тип B)</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157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Имеется цветная этикетка на корпусе с указанием модели, сайта производителя и графическим обозначением расположения источника света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Объем кюветы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4</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мл</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Количество кювет в комплекте</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Шт</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 оптического пути кюветы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мм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10.10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 волны источника света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525</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нм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10.11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Диапазон измерения оптической плотности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От 0 до 2</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D</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10.12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Разрешение датчика при измерении оптической плотности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0,01</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D</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color w:val="000000"/>
                <w:lang w:eastAsia="ru-RU"/>
              </w:rPr>
            </w:pPr>
            <w:r w:rsidRPr="00176BA0">
              <w:rPr>
                <w:rFonts w:ascii="Times New Roman" w:eastAsia="Times New Roman" w:hAnsi="Times New Roman" w:cs="Times New Roman"/>
                <w:b/>
                <w:bCs/>
                <w:color w:val="000000"/>
                <w:lang w:eastAsia="ru-RU"/>
              </w:rPr>
              <w:t>Программное обеспечение</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Для обеспечения сбора и обработки данных с датчиков; выполнения учащимися экспериментальных заданий по предметной области; возможности вывода, обработки, хранения и оценки результатов проводимых измерений; управления режимами сбора и отображения данных; расширения функциональности проводимых экспериментов. </w:t>
            </w: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Функционирование на русском языке</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126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Функционал быстрого запуска (запуск измерений подключенных датчиков без дополнительных настроек).</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189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Автоматическое определение подключенных по USB к компьютеру или планшету датчиков и мультидатчиков и отображение списка подключенных датчиков</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126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Функционал выбора датчиков для измерения – возможность скрыть подключенные датчики, которые не требуются в режиме измерения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1196"/>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Интерфейс подключения датчиков по протоколу Bluetooth 4.0. Интерфейс подключения датчиков по протоколу Bluetooth содержит функционал поиска доступных включенных устройств, отображение списка доступных устройств, функционал подключения найденных и доступных устройств, отображение списка подключенных устройств, функционал отключения </w:t>
            </w:r>
            <w:r w:rsidRPr="00176BA0">
              <w:rPr>
                <w:rFonts w:ascii="Times New Roman" w:eastAsia="Times New Roman" w:hAnsi="Times New Roman" w:cs="Times New Roman"/>
                <w:color w:val="000000"/>
                <w:lang w:eastAsia="ru-RU"/>
              </w:rPr>
              <w:lastRenderedPageBreak/>
              <w:t>подключенных к программе устройств</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lastRenderedPageBreak/>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Функционал детальной настройки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 настройка периода опроса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 выбор единиц измерения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 возможность скрытия датчика в режиме измерения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4. настройка цвета линии и толщины линии на графике для датчика </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 настройка цвета и толщины точек на графике для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 настройка видимого интервала измерений на графике для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 переход в режим калибровки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8. выбор диапазона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Функционал общих настроек:</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 Настройка продолжительности эксперимента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 Настройка вида графика по умолчанию (линия, линия с точками, только точки)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46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 Настройка вида таймера (секундомер – отображается количество секунд и миллисекунд прошедших с момента запуска измерений; часы – таймер отображается в формате электронных часов, показывая количество минут прошедших с момента запуска эксперимента по формату: «ММ:СС», где ММ – это минуты, а СС – секунды.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252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11.19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Функционал связки датчиков. Датчики подключенные к связке датчиков отображаются одновременно на одном графике. График связки датчиков имеет функционал настройки отображения минимального и максимального значения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252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каждого датчика предусмотрен свой график, в том числе для датчиков подключенных к связке датчиков. обеспечено переключение между графиками датчиков в режиме реального времени, без приостановки работы программы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Функционал калибровки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 Защита функционала калибровки паролем</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 Выбор количества этапов по которым будет производиться калибровка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 Ввод значений для каждого этапа калибровки и сверка с текущими показаниями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189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4. Расчет нового значения по окончании калибровки и его отображение для принятия решения пользователем о сохранении или отмене введенных им значений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 Сохранение результатов калибровки пользователя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 Функционал сброса калибровки к заводским настройкам</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409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Режим сбора данных. В режиме сбора данных обеспечивается: возможность управления датчиком, пересылка команды на смену режима его работы, доступ к цифровому переключателю диапазонов датчика через интерфейс программы, отображение графиков датчика и связки датчиков в режиме реального времени, отображение показаний датчика в режиме реального времени. </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11.29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Функционал по работе с графиками: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 Возможность перемещать график по различным осям</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 Изменять масштаб графика одновременно по двум осям</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 Изменять масштаб графика по любой оси отдельно</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4. Изменять режим отображения графика (линия, линия с точкой, только точки)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5. Сброс масштаба графика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6. Отображение маркеров для точек значений графика по двум осям на которые наведен курсор</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7. Увеличение масштаба выбранной курсором области графика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46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График датчика в режиме сбора данных автоматически выбирает видимый диапазон по оси значений для отображения всех точек графика. Также предусмотрен функционал установления видимого диапазона по оси значений вручную и фиксации этого диапазона (отключение автоматического определения видимого диапазона)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441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В режиме сбора данных поддерживает подключение и отключение датчиков («на горячую»), работа программы при этих действиях не прервана или завершена. При отключении датчика полученные данные сохранены в памяти программы. Повторно подключенный датчик автоматически распознается и продолжает передавать данные, график повторно подключенного датчика продолжен с момента разъединения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819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11.39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Автоматическое определение наименования, единиц и пределов измерения подключенных датчиков; отображение таймера работы программы в режиме реального времени одновременно с показаниями датчиков; возможность краткосрочной приостановки программы и последующее возобновление работы без потери полученных данных; просмотр данных на графике за весь период измерений; отображение таблицы показаний в программе. Таблица показаний содержит все полученные данные со всех датчиков. Полученные данные сопоставлены со шкалой времени. Отображение данных в таблице в обратном порядке – первой строкой отображается последнее измеренное значение, последней – </w:t>
            </w:r>
            <w:r w:rsidRPr="00176BA0">
              <w:rPr>
                <w:rFonts w:ascii="Times New Roman" w:eastAsia="Times New Roman" w:hAnsi="Times New Roman" w:cs="Times New Roman"/>
                <w:color w:val="000000"/>
                <w:lang w:eastAsia="ru-RU"/>
              </w:rPr>
              <w:lastRenderedPageBreak/>
              <w:t>первое измеренное значение; выгрузку таблицы с полученными данными в формат табличного редактора (*.xls). Выгрузка в табличный редактор осуществляется в порядке проводимых измерений: первой строкой выгружено первое измеренное значение, последней строкой – последнее измеренное значение; сохранение полученных данных во внутреннюю память датчика в автоматическом режиме; считывание сохраненных значений из памяти датчика. Данные могут быть использованы для выгрузки в формат табличного процессора или продолжения измерений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lastRenderedPageBreak/>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283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Функционал полуавтоматической калибровки показаний датчиков в режиме сбора данных. Полуавтоматическая калибровка подразумевает сброс значений к нулевым показаниям с сохранением и отображением пользователю коррелирующего значения.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количество одновременно опрашиваемых датчиков</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Функционал с информацией о версии программного обеспечения: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 Отображение номера текущей версии ПО</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2. Функционал проверки обновления ПО в виде кнопки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3. Кнопка открытия документации в формате HTML</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11.46</w:t>
            </w:r>
          </w:p>
        </w:tc>
        <w:tc>
          <w:tcPr>
            <w:tcW w:w="2471"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b/>
                <w:bCs/>
                <w:iCs/>
                <w:color w:val="000000"/>
                <w:lang w:eastAsia="ru-RU"/>
              </w:rPr>
            </w:pPr>
            <w:r w:rsidRPr="00176BA0">
              <w:rPr>
                <w:rFonts w:ascii="Times New Roman" w:eastAsia="Times New Roman" w:hAnsi="Times New Roman" w:cs="Times New Roman"/>
                <w:b/>
                <w:bCs/>
                <w:iCs/>
                <w:color w:val="000000"/>
                <w:lang w:eastAsia="ru-RU"/>
              </w:rPr>
              <w:t>Справочно-методические материалы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Для пояснения хода выполнения работ, описания сборки экспериментальных установок, формирования отчета и </w:t>
            </w:r>
            <w:r w:rsidRPr="00176BA0">
              <w:rPr>
                <w:rFonts w:ascii="Times New Roman" w:eastAsia="Times New Roman" w:hAnsi="Times New Roman" w:cs="Times New Roman"/>
                <w:color w:val="000000"/>
                <w:lang w:eastAsia="ru-RU"/>
              </w:rPr>
              <w:lastRenderedPageBreak/>
              <w:t xml:space="preserve">обработки результатов </w:t>
            </w: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описание работ которые можно провести с использованием цифровой лаборатории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количество работ по химии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40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Шт.</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11.49</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Состав каждой лабораторной работы: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11.50</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теоретические сведения</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11.51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подробный сценарий при работе с цифровой лабораторией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11.52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последовательный алгоритм по обработке полученных данных</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11.53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перечень контрольных вопросов для закрепления полученных знаний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11.54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печатный вид в цветном исполнении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lang w:eastAsia="ru-RU"/>
              </w:rPr>
            </w:pPr>
            <w:r w:rsidRPr="00176BA0">
              <w:rPr>
                <w:rFonts w:ascii="Times New Roman" w:eastAsia="Times New Roman" w:hAnsi="Times New Roman" w:cs="Times New Roman"/>
                <w:lang w:eastAsia="ru-RU"/>
              </w:rPr>
              <w:t>12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b/>
                <w:bCs/>
                <w:iCs/>
                <w:lang w:eastAsia="ru-RU"/>
              </w:rPr>
            </w:pPr>
            <w:r w:rsidRPr="00176BA0">
              <w:rPr>
                <w:rFonts w:ascii="Times New Roman" w:eastAsia="Times New Roman" w:hAnsi="Times New Roman" w:cs="Times New Roman"/>
                <w:b/>
                <w:bCs/>
                <w:iCs/>
                <w:lang w:eastAsia="ru-RU"/>
              </w:rPr>
              <w:t>Аксессуары:</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val="restart"/>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Для удобства использования, транспортировки, хранения и увеличения срока службы цифровой лаборатории</w:t>
            </w: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12.1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1. Соединительный USB кабель:</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12.2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количество</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single" w:sz="4" w:space="0" w:color="000000"/>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Шт.</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12.3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длина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tcBorders>
              <w:top w:val="nil"/>
              <w:left w:val="single" w:sz="4" w:space="0" w:color="000000"/>
              <w:bottom w:val="single" w:sz="4" w:space="0" w:color="000000"/>
              <w:right w:val="nil"/>
            </w:tcBorders>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180</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см</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2. Зарядное устройство с кабелем mini-USB для беспроводных мультидатчиков</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14</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val="en-US" w:eastAsia="ru-RU"/>
              </w:rPr>
            </w:pPr>
            <w:r w:rsidRPr="00176BA0">
              <w:rPr>
                <w:rFonts w:ascii="Times New Roman" w:eastAsia="Times New Roman" w:hAnsi="Times New Roman" w:cs="Times New Roman"/>
                <w:iCs/>
                <w:color w:val="000000"/>
                <w:lang w:val="en-US" w:eastAsia="ru-RU"/>
              </w:rPr>
              <w:t xml:space="preserve">3. USB </w:t>
            </w:r>
            <w:r w:rsidRPr="00176BA0">
              <w:rPr>
                <w:rFonts w:ascii="Times New Roman" w:eastAsia="Times New Roman" w:hAnsi="Times New Roman" w:cs="Times New Roman"/>
                <w:iCs/>
                <w:color w:val="000000"/>
                <w:lang w:eastAsia="ru-RU"/>
              </w:rPr>
              <w:t>Адаптера</w:t>
            </w:r>
            <w:r w:rsidRPr="00176BA0">
              <w:rPr>
                <w:rFonts w:ascii="Times New Roman" w:eastAsia="Times New Roman" w:hAnsi="Times New Roman" w:cs="Times New Roman"/>
                <w:iCs/>
                <w:color w:val="000000"/>
                <w:lang w:val="en-US" w:eastAsia="ru-RU"/>
              </w:rPr>
              <w:t xml:space="preserve"> </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val="en-US" w:eastAsia="ru-RU"/>
              </w:rPr>
            </w:pPr>
            <w:r w:rsidRPr="00176BA0">
              <w:rPr>
                <w:rFonts w:ascii="Times New Roman" w:eastAsia="Times New Roman" w:hAnsi="Times New Roman" w:cs="Times New Roman"/>
                <w:color w:val="000000"/>
                <w:lang w:val="en-US" w:eastAsia="ru-RU"/>
              </w:rPr>
              <w:t>Bluetooth 4.1 Low Energy</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val="en-US" w:eastAsia="ru-RU"/>
              </w:rPr>
            </w:pPr>
            <w:r w:rsidRPr="00176BA0">
              <w:rPr>
                <w:rFonts w:ascii="Times New Roman" w:eastAsia="Times New Roman" w:hAnsi="Times New Roman" w:cs="Times New Roman"/>
                <w:color w:val="000000"/>
                <w:lang w:val="en-US"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val="en-US" w:eastAsia="ru-RU"/>
              </w:rPr>
            </w:pPr>
          </w:p>
        </w:tc>
      </w:tr>
      <w:tr w:rsidR="00176BA0" w:rsidRPr="00176BA0" w:rsidTr="004D465C">
        <w:trPr>
          <w:trHeight w:val="126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val="en-US"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15</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4. Цифровой накопитель с записанным программным обеспечением цифровой лаборатории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15.1</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количество</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1</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Шт.</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15.2</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5. Набор лабораторной оснастки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31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15.3</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количество</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1</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xml:space="preserve">  комплект</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63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16</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6. Кейс для хранения и транспортировки</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45"/>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17</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7. Паспорт для каждого мультидатчика и отдельного датчика</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60"/>
        </w:trPr>
        <w:tc>
          <w:tcPr>
            <w:tcW w:w="1822"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18</w:t>
            </w:r>
          </w:p>
        </w:tc>
        <w:tc>
          <w:tcPr>
            <w:tcW w:w="2471" w:type="dxa"/>
            <w:shd w:val="clear" w:color="auto" w:fill="auto"/>
            <w:hideMark/>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8. Краткое руководство по работе с цифровой лабораторией</w:t>
            </w:r>
          </w:p>
        </w:tc>
        <w:tc>
          <w:tcPr>
            <w:tcW w:w="2029" w:type="dxa"/>
            <w:shd w:val="clear" w:color="auto" w:fill="auto"/>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hideMark/>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 </w:t>
            </w:r>
          </w:p>
        </w:tc>
        <w:tc>
          <w:tcPr>
            <w:tcW w:w="4507" w:type="dxa"/>
            <w:vMerge/>
            <w:shd w:val="clear" w:color="auto" w:fill="auto"/>
            <w:hideMark/>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60"/>
        </w:trPr>
        <w:tc>
          <w:tcPr>
            <w:tcW w:w="1822" w:type="dxa"/>
            <w:vMerge/>
            <w:shd w:val="clear" w:color="auto" w:fill="auto"/>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val="tt-RU" w:eastAsia="ru-RU"/>
              </w:rPr>
            </w:pPr>
            <w:r w:rsidRPr="00176BA0">
              <w:rPr>
                <w:rFonts w:ascii="Times New Roman" w:eastAsia="Times New Roman" w:hAnsi="Times New Roman" w:cs="Times New Roman"/>
                <w:color w:val="000000"/>
                <w:lang w:val="tt-RU" w:eastAsia="ru-RU"/>
              </w:rPr>
              <w:t>19</w:t>
            </w:r>
          </w:p>
        </w:tc>
        <w:tc>
          <w:tcPr>
            <w:tcW w:w="2471" w:type="dxa"/>
            <w:shd w:val="clear" w:color="auto" w:fill="auto"/>
          </w:tcPr>
          <w:p w:rsidR="00176BA0" w:rsidRPr="00176BA0" w:rsidRDefault="00176BA0" w:rsidP="00176BA0">
            <w:pPr>
              <w:spacing w:after="0" w:line="240" w:lineRule="auto"/>
              <w:rPr>
                <w:rFonts w:ascii="Times New Roman" w:eastAsia="Times New Roman" w:hAnsi="Times New Roman" w:cs="Times New Roman"/>
                <w:iCs/>
                <w:color w:val="000000"/>
                <w:lang w:eastAsia="ru-RU"/>
              </w:rPr>
            </w:pPr>
            <w:r w:rsidRPr="00176BA0">
              <w:rPr>
                <w:rFonts w:ascii="Times New Roman" w:eastAsia="Times New Roman" w:hAnsi="Times New Roman" w:cs="Times New Roman"/>
                <w:iCs/>
                <w:color w:val="000000"/>
                <w:lang w:eastAsia="ru-RU"/>
              </w:rPr>
              <w:t>Видеоролики на русском языке</w:t>
            </w:r>
          </w:p>
        </w:tc>
        <w:tc>
          <w:tcPr>
            <w:tcW w:w="2029"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r w:rsidRPr="00176BA0">
              <w:rPr>
                <w:rFonts w:ascii="Times New Roman" w:eastAsia="Times New Roman" w:hAnsi="Times New Roman" w:cs="Times New Roman"/>
                <w:color w:val="000000"/>
                <w:lang w:eastAsia="ru-RU"/>
              </w:rPr>
              <w:t>Наличие</w:t>
            </w:r>
          </w:p>
        </w:tc>
        <w:tc>
          <w:tcPr>
            <w:tcW w:w="1134" w:type="dxa"/>
            <w:shd w:val="clear" w:color="auto" w:fill="auto"/>
            <w:noWrap/>
          </w:tcPr>
          <w:p w:rsidR="00176BA0" w:rsidRPr="00176BA0" w:rsidRDefault="00176BA0" w:rsidP="00176BA0">
            <w:pPr>
              <w:spacing w:after="0" w:line="240" w:lineRule="auto"/>
              <w:jc w:val="center"/>
              <w:rPr>
                <w:rFonts w:ascii="Times New Roman" w:eastAsia="Times New Roman" w:hAnsi="Times New Roman" w:cs="Times New Roman"/>
                <w:color w:val="000000"/>
                <w:lang w:eastAsia="ru-RU"/>
              </w:rPr>
            </w:pPr>
          </w:p>
        </w:tc>
        <w:tc>
          <w:tcPr>
            <w:tcW w:w="4507" w:type="dxa"/>
            <w:shd w:val="clear" w:color="auto" w:fill="auto"/>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r>
      <w:tr w:rsidR="00176BA0" w:rsidRPr="00176BA0" w:rsidTr="004D465C">
        <w:trPr>
          <w:trHeight w:val="960"/>
        </w:trPr>
        <w:tc>
          <w:tcPr>
            <w:tcW w:w="1822" w:type="dxa"/>
            <w:shd w:val="clear" w:color="auto" w:fill="auto"/>
          </w:tcPr>
          <w:p w:rsidR="00176BA0" w:rsidRPr="00176BA0" w:rsidRDefault="00176BA0" w:rsidP="00176BA0">
            <w:pPr>
              <w:spacing w:after="0" w:line="240" w:lineRule="auto"/>
              <w:rPr>
                <w:rFonts w:ascii="Times New Roman" w:eastAsia="Times New Roman" w:hAnsi="Times New Roman" w:cs="Times New Roman"/>
                <w:color w:val="000000"/>
                <w:lang w:eastAsia="ru-RU"/>
              </w:rPr>
            </w:pPr>
          </w:p>
        </w:tc>
        <w:tc>
          <w:tcPr>
            <w:tcW w:w="756" w:type="dxa"/>
            <w:shd w:val="clear" w:color="auto" w:fill="auto"/>
          </w:tcPr>
          <w:p w:rsidR="00176BA0" w:rsidRPr="00176BA0" w:rsidRDefault="00176BA0" w:rsidP="00176BA0">
            <w:pPr>
              <w:spacing w:after="0" w:line="240" w:lineRule="auto"/>
              <w:jc w:val="center"/>
              <w:rPr>
                <w:rFonts w:ascii="Times New Roman" w:eastAsia="Times New Roman" w:hAnsi="Times New Roman" w:cs="Times New Roman"/>
                <w:color w:val="000000"/>
                <w:lang w:val="tt-RU" w:eastAsia="ru-RU"/>
              </w:rPr>
            </w:pPr>
            <w:r w:rsidRPr="00176BA0">
              <w:rPr>
                <w:rFonts w:ascii="Times New Roman" w:eastAsia="Times New Roman" w:hAnsi="Times New Roman" w:cs="Times New Roman"/>
                <w:color w:val="000000"/>
                <w:lang w:val="tt-RU" w:eastAsia="ru-RU"/>
              </w:rPr>
              <w:t>20</w:t>
            </w:r>
          </w:p>
        </w:tc>
        <w:tc>
          <w:tcPr>
            <w:tcW w:w="2471" w:type="dxa"/>
            <w:shd w:val="clear" w:color="auto" w:fill="auto"/>
          </w:tcPr>
          <w:p w:rsidR="00176BA0" w:rsidRPr="00176BA0" w:rsidRDefault="00176BA0" w:rsidP="00176BA0">
            <w:pPr>
              <w:spacing w:after="0" w:line="240" w:lineRule="auto"/>
              <w:rPr>
                <w:rFonts w:ascii="Times New Roman" w:eastAsia="Calibri" w:hAnsi="Times New Roman" w:cs="Times New Roman"/>
                <w:color w:val="000000"/>
                <w:lang w:eastAsia="ru-RU"/>
              </w:rPr>
            </w:pPr>
            <w:r w:rsidRPr="00176BA0">
              <w:rPr>
                <w:rFonts w:ascii="Times New Roman" w:eastAsia="Calibri" w:hAnsi="Times New Roman" w:cs="Times New Roman"/>
                <w:color w:val="000000"/>
                <w:lang w:eastAsia="ru-RU"/>
              </w:rPr>
              <w:t>Русскоязычный сайт поддержки</w:t>
            </w:r>
          </w:p>
        </w:tc>
        <w:tc>
          <w:tcPr>
            <w:tcW w:w="2029" w:type="dxa"/>
            <w:shd w:val="clear" w:color="auto" w:fill="auto"/>
          </w:tcPr>
          <w:p w:rsidR="00176BA0" w:rsidRPr="00176BA0" w:rsidRDefault="00176BA0" w:rsidP="00176BA0">
            <w:pPr>
              <w:spacing w:after="0" w:line="240" w:lineRule="auto"/>
              <w:rPr>
                <w:rFonts w:ascii="Times New Roman" w:eastAsia="Calibri" w:hAnsi="Times New Roman" w:cs="Times New Roman"/>
                <w:color w:val="000000"/>
                <w:lang w:eastAsia="ru-RU"/>
              </w:rPr>
            </w:pPr>
            <w:r w:rsidRPr="00176BA0">
              <w:rPr>
                <w:rFonts w:ascii="Times New Roman" w:eastAsia="Calibri" w:hAnsi="Times New Roman" w:cs="Times New Roman"/>
                <w:color w:val="000000"/>
                <w:lang w:eastAsia="ru-RU"/>
              </w:rPr>
              <w:t>наличие</w:t>
            </w:r>
          </w:p>
        </w:tc>
        <w:tc>
          <w:tcPr>
            <w:tcW w:w="2410" w:type="dxa"/>
            <w:shd w:val="clear" w:color="auto" w:fill="auto"/>
          </w:tcPr>
          <w:p w:rsidR="00176BA0" w:rsidRPr="00176BA0" w:rsidRDefault="00176BA0" w:rsidP="00176BA0">
            <w:pPr>
              <w:spacing w:after="0" w:line="240" w:lineRule="auto"/>
              <w:jc w:val="center"/>
              <w:rPr>
                <w:rFonts w:ascii="Times New Roman" w:eastAsia="Calibri" w:hAnsi="Times New Roman" w:cs="Times New Roman"/>
                <w:color w:val="000000"/>
                <w:lang w:eastAsia="ru-RU"/>
              </w:rPr>
            </w:pPr>
            <w:r w:rsidRPr="00176BA0">
              <w:rPr>
                <w:rFonts w:ascii="Times New Roman" w:eastAsia="Calibri" w:hAnsi="Times New Roman" w:cs="Times New Roman"/>
                <w:color w:val="000000"/>
                <w:lang w:eastAsia="ru-RU"/>
              </w:rPr>
              <w:t>Наличие</w:t>
            </w:r>
          </w:p>
        </w:tc>
        <w:tc>
          <w:tcPr>
            <w:tcW w:w="1134" w:type="dxa"/>
            <w:shd w:val="clear" w:color="auto" w:fill="auto"/>
            <w:noWrap/>
          </w:tcPr>
          <w:p w:rsidR="00176BA0" w:rsidRPr="00176BA0" w:rsidRDefault="00176BA0" w:rsidP="00176BA0">
            <w:pPr>
              <w:spacing w:after="0" w:line="240" w:lineRule="auto"/>
              <w:rPr>
                <w:rFonts w:ascii="Times New Roman" w:eastAsia="Calibri" w:hAnsi="Times New Roman" w:cs="Times New Roman"/>
                <w:color w:val="000000"/>
                <w:lang w:eastAsia="ru-RU"/>
              </w:rPr>
            </w:pPr>
            <w:r w:rsidRPr="00176BA0">
              <w:rPr>
                <w:rFonts w:ascii="Times New Roman" w:eastAsia="Calibri" w:hAnsi="Times New Roman" w:cs="Times New Roman"/>
                <w:color w:val="000000"/>
                <w:lang w:eastAsia="ru-RU"/>
              </w:rPr>
              <w:t> </w:t>
            </w:r>
          </w:p>
        </w:tc>
        <w:tc>
          <w:tcPr>
            <w:tcW w:w="4507" w:type="dxa"/>
            <w:shd w:val="clear" w:color="auto" w:fill="auto"/>
          </w:tcPr>
          <w:p w:rsidR="00176BA0" w:rsidRPr="00176BA0" w:rsidRDefault="00176BA0" w:rsidP="00176BA0">
            <w:pPr>
              <w:spacing w:after="0" w:line="240" w:lineRule="auto"/>
              <w:rPr>
                <w:rFonts w:ascii="Times New Roman" w:eastAsia="Calibri" w:hAnsi="Times New Roman" w:cs="Times New Roman"/>
                <w:color w:val="000000"/>
                <w:lang w:eastAsia="ru-RU"/>
              </w:rPr>
            </w:pPr>
            <w:r w:rsidRPr="00176BA0">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bl>
    <w:p w:rsidR="00230F0A" w:rsidRDefault="00230F0A">
      <w:bookmarkStart w:id="0" w:name="_GoBack"/>
      <w:bookmarkEnd w:id="0"/>
    </w:p>
    <w:sectPr w:rsidR="00230F0A" w:rsidSect="00176BA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DL">
    <w:altName w:val="Times New Roman"/>
    <w:charset w:val="00"/>
    <w:family w:val="roman"/>
    <w:pitch w:val="variable"/>
    <w:sig w:usb0="00000003" w:usb1="00000000" w:usb2="00000000" w:usb3="00000000" w:csb0="00000001" w:csb1="00000000"/>
  </w:font>
  <w:font w:name="DejaVu Sans">
    <w:altName w:val="Times New Roman"/>
    <w:charset w:val="00"/>
    <w:family w:val="auto"/>
    <w:pitch w:val="variable"/>
  </w:font>
  <w:font w:name="font181">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A57"/>
    <w:multiLevelType w:val="multilevel"/>
    <w:tmpl w:val="8B6AF6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E30553"/>
    <w:multiLevelType w:val="multilevel"/>
    <w:tmpl w:val="3148ECE0"/>
    <w:lvl w:ilvl="0">
      <w:start w:val="1"/>
      <w:numFmt w:val="decimal"/>
      <w:lvlText w:val="%1."/>
      <w:lvlJc w:val="left"/>
      <w:pPr>
        <w:tabs>
          <w:tab w:val="num" w:pos="540"/>
        </w:tabs>
        <w:ind w:left="540" w:hanging="540"/>
      </w:pPr>
      <w:rPr>
        <w:rFonts w:hint="default"/>
      </w:rPr>
    </w:lvl>
    <w:lvl w:ilvl="1">
      <w:start w:val="1"/>
      <w:numFmt w:val="decimal"/>
      <w:lvlText w:val="3.%2."/>
      <w:lvlJc w:val="left"/>
      <w:pPr>
        <w:tabs>
          <w:tab w:val="num" w:pos="561"/>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39B1B65"/>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062C6C"/>
    <w:multiLevelType w:val="multilevel"/>
    <w:tmpl w:val="ED1007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7AA40CB"/>
    <w:multiLevelType w:val="multilevel"/>
    <w:tmpl w:val="F6886098"/>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5687210"/>
    <w:multiLevelType w:val="hybridMultilevel"/>
    <w:tmpl w:val="48147E10"/>
    <w:lvl w:ilvl="0" w:tplc="BA8C466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D125F0B"/>
    <w:multiLevelType w:val="multilevel"/>
    <w:tmpl w:val="CADCF0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2A65EC5"/>
    <w:multiLevelType w:val="multilevel"/>
    <w:tmpl w:val="056A1F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B6B6B0C"/>
    <w:multiLevelType w:val="multilevel"/>
    <w:tmpl w:val="FA60C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D2F14F4"/>
    <w:multiLevelType w:val="multilevel"/>
    <w:tmpl w:val="DD0E13B8"/>
    <w:lvl w:ilvl="0">
      <w:start w:val="1"/>
      <w:numFmt w:val="decimal"/>
      <w:lvlText w:val="%1."/>
      <w:lvlJc w:val="left"/>
      <w:pPr>
        <w:tabs>
          <w:tab w:val="num" w:pos="540"/>
        </w:tabs>
        <w:ind w:left="540" w:hanging="540"/>
      </w:pPr>
      <w:rPr>
        <w:rFonts w:hint="default"/>
      </w:rPr>
    </w:lvl>
    <w:lvl w:ilvl="1">
      <w:start w:val="1"/>
      <w:numFmt w:val="decimal"/>
      <w:lvlText w:val="2.%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2A639BF"/>
    <w:multiLevelType w:val="multilevel"/>
    <w:tmpl w:val="4E34B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33E02D8"/>
    <w:multiLevelType w:val="hybridMultilevel"/>
    <w:tmpl w:val="710C6A7C"/>
    <w:lvl w:ilvl="0" w:tplc="5C1E41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DF52522"/>
    <w:multiLevelType w:val="multilevel"/>
    <w:tmpl w:val="AB5A355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6710F52"/>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E46AA8"/>
    <w:multiLevelType w:val="multilevel"/>
    <w:tmpl w:val="04FA2DE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9"/>
  </w:num>
  <w:num w:numId="3">
    <w:abstractNumId w:val="1"/>
  </w:num>
  <w:num w:numId="4">
    <w:abstractNumId w:val="10"/>
  </w:num>
  <w:num w:numId="5">
    <w:abstractNumId w:val="12"/>
  </w:num>
  <w:num w:numId="6">
    <w:abstractNumId w:val="6"/>
  </w:num>
  <w:num w:numId="7">
    <w:abstractNumId w:val="8"/>
  </w:num>
  <w:num w:numId="8">
    <w:abstractNumId w:val="3"/>
  </w:num>
  <w:num w:numId="9">
    <w:abstractNumId w:val="7"/>
  </w:num>
  <w:num w:numId="10">
    <w:abstractNumId w:val="4"/>
  </w:num>
  <w:num w:numId="11">
    <w:abstractNumId w:val="5"/>
  </w:num>
  <w:num w:numId="12">
    <w:abstractNumId w:val="0"/>
  </w:num>
  <w:num w:numId="13">
    <w:abstractNumId w:val="1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021"/>
    <w:rsid w:val="0001510C"/>
    <w:rsid w:val="00176BA0"/>
    <w:rsid w:val="00230F0A"/>
    <w:rsid w:val="00334BB9"/>
    <w:rsid w:val="00B43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1"/>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176BA0"/>
  </w:style>
  <w:style w:type="paragraph" w:styleId="a9">
    <w:name w:val="Body Text"/>
    <w:basedOn w:val="a"/>
    <w:link w:val="aa"/>
    <w:rsid w:val="00176BA0"/>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176BA0"/>
    <w:rPr>
      <w:rFonts w:ascii="Calibri" w:eastAsia="Times New Roman" w:hAnsi="Calibri" w:cs="Times New Roman"/>
      <w:kern w:val="1"/>
      <w:lang w:eastAsia="ar-SA"/>
    </w:rPr>
  </w:style>
  <w:style w:type="paragraph" w:customStyle="1" w:styleId="ab">
    <w:name w:val="Подраздел"/>
    <w:rsid w:val="00176BA0"/>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176BA0"/>
    <w:pPr>
      <w:widowControl w:val="0"/>
      <w:suppressAutoHyphens/>
    </w:pPr>
    <w:rPr>
      <w:rFonts w:ascii="Calibri" w:eastAsia="DejaVu Sans" w:hAnsi="Calibri" w:cs="font181"/>
      <w:kern w:val="1"/>
      <w:lang w:eastAsia="ar-SA"/>
    </w:rPr>
  </w:style>
  <w:style w:type="paragraph" w:styleId="21">
    <w:name w:val="Body Text 2"/>
    <w:link w:val="22"/>
    <w:rsid w:val="00176BA0"/>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176BA0"/>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176BA0"/>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176BA0"/>
    <w:rPr>
      <w:rFonts w:ascii="Calibri" w:eastAsia="Times New Roman" w:hAnsi="Calibri" w:cs="Times New Roman"/>
      <w:kern w:val="1"/>
      <w:lang w:eastAsia="ar-SA"/>
    </w:rPr>
  </w:style>
  <w:style w:type="paragraph" w:styleId="af">
    <w:name w:val="Title"/>
    <w:basedOn w:val="a"/>
    <w:link w:val="af0"/>
    <w:qFormat/>
    <w:rsid w:val="00176BA0"/>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176BA0"/>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176BA0"/>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176BA0"/>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176BA0"/>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176BA0"/>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176BA0"/>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176BA0"/>
    <w:rPr>
      <w:rFonts w:ascii="Tahoma" w:eastAsiaTheme="minorEastAsia" w:hAnsi="Tahoma" w:cs="Tahoma"/>
      <w:sz w:val="16"/>
      <w:szCs w:val="16"/>
      <w:lang w:eastAsia="ru-RU"/>
    </w:rPr>
  </w:style>
  <w:style w:type="paragraph" w:customStyle="1" w:styleId="ConsNormal">
    <w:name w:val="ConsNormal"/>
    <w:semiHidden/>
    <w:rsid w:val="00176BA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176BA0"/>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176BA0"/>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176BA0"/>
    <w:rPr>
      <w:rFonts w:eastAsiaTheme="minorEastAsia"/>
      <w:sz w:val="20"/>
      <w:szCs w:val="20"/>
      <w:lang w:eastAsia="ru-RU"/>
    </w:rPr>
  </w:style>
  <w:style w:type="character" w:styleId="af7">
    <w:name w:val="footnote reference"/>
    <w:qFormat/>
    <w:rsid w:val="00176BA0"/>
    <w:rPr>
      <w:rFonts w:ascii="Times New Roman" w:hAnsi="Times New Roman" w:cs="Times New Roman"/>
      <w:vertAlign w:val="superscript"/>
    </w:rPr>
  </w:style>
  <w:style w:type="paragraph" w:styleId="af8">
    <w:name w:val="header"/>
    <w:basedOn w:val="a"/>
    <w:link w:val="af9"/>
    <w:uiPriority w:val="99"/>
    <w:unhideWhenUsed/>
    <w:rsid w:val="00176BA0"/>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176BA0"/>
    <w:rPr>
      <w:rFonts w:eastAsiaTheme="minorEastAsia"/>
      <w:lang w:eastAsia="ru-RU"/>
    </w:rPr>
  </w:style>
  <w:style w:type="paragraph" w:styleId="afa">
    <w:name w:val="footer"/>
    <w:basedOn w:val="a"/>
    <w:link w:val="afb"/>
    <w:uiPriority w:val="99"/>
    <w:unhideWhenUsed/>
    <w:rsid w:val="00176BA0"/>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176BA0"/>
    <w:rPr>
      <w:rFonts w:eastAsiaTheme="minorEastAsia"/>
      <w:lang w:eastAsia="ru-RU"/>
    </w:rPr>
  </w:style>
  <w:style w:type="character" w:customStyle="1" w:styleId="apple-converted-space">
    <w:name w:val="apple-converted-space"/>
    <w:basedOn w:val="a0"/>
    <w:rsid w:val="00176BA0"/>
  </w:style>
  <w:style w:type="character" w:styleId="afc">
    <w:name w:val="Hyperlink"/>
    <w:basedOn w:val="a0"/>
    <w:uiPriority w:val="99"/>
    <w:unhideWhenUsed/>
    <w:rsid w:val="00176BA0"/>
    <w:rPr>
      <w:color w:val="0000FF"/>
      <w:u w:val="single"/>
    </w:rPr>
  </w:style>
  <w:style w:type="character" w:styleId="afd">
    <w:name w:val="annotation reference"/>
    <w:uiPriority w:val="99"/>
    <w:unhideWhenUsed/>
    <w:rsid w:val="00176BA0"/>
    <w:rPr>
      <w:sz w:val="16"/>
      <w:szCs w:val="16"/>
    </w:rPr>
  </w:style>
  <w:style w:type="paragraph" w:styleId="afe">
    <w:name w:val="annotation text"/>
    <w:basedOn w:val="a"/>
    <w:link w:val="aff"/>
    <w:uiPriority w:val="99"/>
    <w:unhideWhenUsed/>
    <w:rsid w:val="00176BA0"/>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176BA0"/>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176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176BA0"/>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176BA0"/>
    <w:rPr>
      <w:rFonts w:ascii="Times New Roman" w:hAnsi="Times New Roman"/>
      <w:color w:val="auto"/>
    </w:rPr>
  </w:style>
  <w:style w:type="paragraph" w:styleId="aff2">
    <w:name w:val="annotation subject"/>
    <w:basedOn w:val="afe"/>
    <w:next w:val="afe"/>
    <w:link w:val="aff3"/>
    <w:uiPriority w:val="99"/>
    <w:semiHidden/>
    <w:unhideWhenUsed/>
    <w:rsid w:val="00176BA0"/>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176BA0"/>
    <w:rPr>
      <w:rFonts w:ascii="Times New Roman" w:eastAsiaTheme="minorEastAsia" w:hAnsi="Times New Roman" w:cs="Times New Roman"/>
      <w:b/>
      <w:bCs/>
      <w:sz w:val="20"/>
      <w:szCs w:val="20"/>
      <w:lang w:val="x-none" w:eastAsia="ru-RU"/>
    </w:rPr>
  </w:style>
  <w:style w:type="table" w:styleId="aff4">
    <w:name w:val="Table Grid"/>
    <w:basedOn w:val="a1"/>
    <w:uiPriority w:val="39"/>
    <w:rsid w:val="00176BA0"/>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176BA0"/>
    <w:rPr>
      <w:rFonts w:eastAsiaTheme="minorEastAsia"/>
      <w:lang w:eastAsia="ru-RU"/>
    </w:rPr>
  </w:style>
  <w:style w:type="numbering" w:customStyle="1" w:styleId="111">
    <w:name w:val="Нет списка11"/>
    <w:next w:val="a2"/>
    <w:uiPriority w:val="99"/>
    <w:semiHidden/>
    <w:unhideWhenUsed/>
    <w:rsid w:val="00176BA0"/>
  </w:style>
  <w:style w:type="character" w:styleId="aff5">
    <w:name w:val="FollowedHyperlink"/>
    <w:basedOn w:val="a0"/>
    <w:uiPriority w:val="99"/>
    <w:semiHidden/>
    <w:unhideWhenUsed/>
    <w:rsid w:val="00176BA0"/>
    <w:rPr>
      <w:color w:val="954F72"/>
      <w:u w:val="single"/>
    </w:rPr>
  </w:style>
  <w:style w:type="paragraph" w:customStyle="1" w:styleId="xl67">
    <w:name w:val="xl67"/>
    <w:basedOn w:val="a"/>
    <w:rsid w:val="00176BA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176BA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176BA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176BA0"/>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176BA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176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176BA0"/>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176BA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176BA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176BA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4">
    <w:name w:val="xl94"/>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5">
    <w:name w:val="xl95"/>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6">
    <w:name w:val="xl96"/>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8">
    <w:name w:val="xl98"/>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
    <w:rsid w:val="00176BA0"/>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176B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
    <w:rsid w:val="00176B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176B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176B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2">
    <w:name w:val="xl112"/>
    <w:basedOn w:val="a"/>
    <w:rsid w:val="00176B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3">
    <w:name w:val="xl113"/>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176B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msonormal0">
    <w:name w:val="msonormal"/>
    <w:basedOn w:val="a"/>
    <w:rsid w:val="00176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176BA0"/>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176BA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5">
    <w:name w:val="xl65"/>
    <w:basedOn w:val="a"/>
    <w:rsid w:val="00176BA0"/>
    <w:pPr>
      <w:pBdr>
        <w:left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176B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rsid w:val="00176BA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7">
    <w:name w:val="xl117"/>
    <w:basedOn w:val="a"/>
    <w:rsid w:val="00176BA0"/>
    <w:pPr>
      <w:pBdr>
        <w:left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8">
    <w:name w:val="xl118"/>
    <w:basedOn w:val="a"/>
    <w:rsid w:val="00176BA0"/>
    <w:pPr>
      <w:pBdr>
        <w:left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176BA0"/>
    <w:pPr>
      <w:pBdr>
        <w:left w:val="single" w:sz="4" w:space="0" w:color="auto"/>
        <w:right w:val="single" w:sz="8"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0">
    <w:name w:val="xl120"/>
    <w:basedOn w:val="a"/>
    <w:rsid w:val="00176BA0"/>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1">
    <w:name w:val="xl121"/>
    <w:basedOn w:val="a"/>
    <w:rsid w:val="00176BA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2">
    <w:name w:val="xl122"/>
    <w:basedOn w:val="a"/>
    <w:rsid w:val="00176BA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3">
    <w:name w:val="xl123"/>
    <w:basedOn w:val="a"/>
    <w:rsid w:val="00176BA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4">
    <w:name w:val="xl124"/>
    <w:basedOn w:val="a"/>
    <w:rsid w:val="00176BA0"/>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5">
    <w:name w:val="xl125"/>
    <w:basedOn w:val="a"/>
    <w:rsid w:val="00176BA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6">
    <w:name w:val="xl126"/>
    <w:basedOn w:val="a"/>
    <w:rsid w:val="00176BA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
    <w:rsid w:val="00176BA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
    <w:rsid w:val="00176BA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176BA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30">
    <w:name w:val="xl130"/>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176BA0"/>
    <w:pPr>
      <w:pBdr>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2">
    <w:name w:val="xl132"/>
    <w:basedOn w:val="a"/>
    <w:rsid w:val="00176BA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33">
    <w:name w:val="xl133"/>
    <w:basedOn w:val="a"/>
    <w:rsid w:val="00176B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4">
    <w:name w:val="xl134"/>
    <w:basedOn w:val="a"/>
    <w:rsid w:val="00176B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5">
    <w:name w:val="xl135"/>
    <w:basedOn w:val="a"/>
    <w:rsid w:val="00176BA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36">
    <w:name w:val="xl136"/>
    <w:basedOn w:val="a"/>
    <w:rsid w:val="00176BA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7">
    <w:name w:val="xl137"/>
    <w:basedOn w:val="a"/>
    <w:rsid w:val="00176BA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8">
    <w:name w:val="xl138"/>
    <w:basedOn w:val="a"/>
    <w:rsid w:val="00176BA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39">
    <w:name w:val="xl139"/>
    <w:basedOn w:val="a"/>
    <w:rsid w:val="00176BA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0">
    <w:name w:val="xl140"/>
    <w:basedOn w:val="a"/>
    <w:rsid w:val="00176BA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1">
    <w:name w:val="xl141"/>
    <w:basedOn w:val="a"/>
    <w:rsid w:val="00176BA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2">
    <w:name w:val="xl142"/>
    <w:basedOn w:val="a"/>
    <w:rsid w:val="00176BA0"/>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3">
    <w:name w:val="xl143"/>
    <w:basedOn w:val="a"/>
    <w:rsid w:val="00176BA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4">
    <w:name w:val="xl144"/>
    <w:basedOn w:val="a"/>
    <w:rsid w:val="00176BA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5">
    <w:name w:val="xl145"/>
    <w:basedOn w:val="a"/>
    <w:rsid w:val="00176BA0"/>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
    <w:rsid w:val="00176BA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
    <w:rsid w:val="00176BA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8">
    <w:name w:val="xl148"/>
    <w:basedOn w:val="a"/>
    <w:rsid w:val="00176BA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9">
    <w:name w:val="xl149"/>
    <w:basedOn w:val="a"/>
    <w:rsid w:val="00176BA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0">
    <w:name w:val="xl150"/>
    <w:basedOn w:val="a"/>
    <w:rsid w:val="00176BA0"/>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1">
    <w:name w:val="xl151"/>
    <w:basedOn w:val="a"/>
    <w:rsid w:val="00176BA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176BA0"/>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176BA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4">
    <w:name w:val="xl154"/>
    <w:basedOn w:val="a"/>
    <w:rsid w:val="00176BA0"/>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5">
    <w:name w:val="xl155"/>
    <w:basedOn w:val="a"/>
    <w:rsid w:val="00176BA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176B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7">
    <w:name w:val="xl157"/>
    <w:basedOn w:val="a"/>
    <w:rsid w:val="00176B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8">
    <w:name w:val="xl158"/>
    <w:basedOn w:val="a"/>
    <w:rsid w:val="00176B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9">
    <w:name w:val="xl159"/>
    <w:basedOn w:val="a"/>
    <w:rsid w:val="00176BA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0">
    <w:name w:val="xl160"/>
    <w:basedOn w:val="a"/>
    <w:rsid w:val="00176BA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1"/>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176BA0"/>
  </w:style>
  <w:style w:type="paragraph" w:styleId="a9">
    <w:name w:val="Body Text"/>
    <w:basedOn w:val="a"/>
    <w:link w:val="aa"/>
    <w:rsid w:val="00176BA0"/>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176BA0"/>
    <w:rPr>
      <w:rFonts w:ascii="Calibri" w:eastAsia="Times New Roman" w:hAnsi="Calibri" w:cs="Times New Roman"/>
      <w:kern w:val="1"/>
      <w:lang w:eastAsia="ar-SA"/>
    </w:rPr>
  </w:style>
  <w:style w:type="paragraph" w:customStyle="1" w:styleId="ab">
    <w:name w:val="Подраздел"/>
    <w:rsid w:val="00176BA0"/>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176BA0"/>
    <w:pPr>
      <w:widowControl w:val="0"/>
      <w:suppressAutoHyphens/>
    </w:pPr>
    <w:rPr>
      <w:rFonts w:ascii="Calibri" w:eastAsia="DejaVu Sans" w:hAnsi="Calibri" w:cs="font181"/>
      <w:kern w:val="1"/>
      <w:lang w:eastAsia="ar-SA"/>
    </w:rPr>
  </w:style>
  <w:style w:type="paragraph" w:styleId="21">
    <w:name w:val="Body Text 2"/>
    <w:link w:val="22"/>
    <w:rsid w:val="00176BA0"/>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176BA0"/>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176BA0"/>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176BA0"/>
    <w:rPr>
      <w:rFonts w:ascii="Calibri" w:eastAsia="Times New Roman" w:hAnsi="Calibri" w:cs="Times New Roman"/>
      <w:kern w:val="1"/>
      <w:lang w:eastAsia="ar-SA"/>
    </w:rPr>
  </w:style>
  <w:style w:type="paragraph" w:styleId="af">
    <w:name w:val="Title"/>
    <w:basedOn w:val="a"/>
    <w:link w:val="af0"/>
    <w:qFormat/>
    <w:rsid w:val="00176BA0"/>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176BA0"/>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176BA0"/>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176BA0"/>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176BA0"/>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176BA0"/>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176BA0"/>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176BA0"/>
    <w:rPr>
      <w:rFonts w:ascii="Tahoma" w:eastAsiaTheme="minorEastAsia" w:hAnsi="Tahoma" w:cs="Tahoma"/>
      <w:sz w:val="16"/>
      <w:szCs w:val="16"/>
      <w:lang w:eastAsia="ru-RU"/>
    </w:rPr>
  </w:style>
  <w:style w:type="paragraph" w:customStyle="1" w:styleId="ConsNormal">
    <w:name w:val="ConsNormal"/>
    <w:semiHidden/>
    <w:rsid w:val="00176BA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176BA0"/>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176BA0"/>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176BA0"/>
    <w:rPr>
      <w:rFonts w:eastAsiaTheme="minorEastAsia"/>
      <w:sz w:val="20"/>
      <w:szCs w:val="20"/>
      <w:lang w:eastAsia="ru-RU"/>
    </w:rPr>
  </w:style>
  <w:style w:type="character" w:styleId="af7">
    <w:name w:val="footnote reference"/>
    <w:qFormat/>
    <w:rsid w:val="00176BA0"/>
    <w:rPr>
      <w:rFonts w:ascii="Times New Roman" w:hAnsi="Times New Roman" w:cs="Times New Roman"/>
      <w:vertAlign w:val="superscript"/>
    </w:rPr>
  </w:style>
  <w:style w:type="paragraph" w:styleId="af8">
    <w:name w:val="header"/>
    <w:basedOn w:val="a"/>
    <w:link w:val="af9"/>
    <w:uiPriority w:val="99"/>
    <w:unhideWhenUsed/>
    <w:rsid w:val="00176BA0"/>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176BA0"/>
    <w:rPr>
      <w:rFonts w:eastAsiaTheme="minorEastAsia"/>
      <w:lang w:eastAsia="ru-RU"/>
    </w:rPr>
  </w:style>
  <w:style w:type="paragraph" w:styleId="afa">
    <w:name w:val="footer"/>
    <w:basedOn w:val="a"/>
    <w:link w:val="afb"/>
    <w:uiPriority w:val="99"/>
    <w:unhideWhenUsed/>
    <w:rsid w:val="00176BA0"/>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176BA0"/>
    <w:rPr>
      <w:rFonts w:eastAsiaTheme="minorEastAsia"/>
      <w:lang w:eastAsia="ru-RU"/>
    </w:rPr>
  </w:style>
  <w:style w:type="character" w:customStyle="1" w:styleId="apple-converted-space">
    <w:name w:val="apple-converted-space"/>
    <w:basedOn w:val="a0"/>
    <w:rsid w:val="00176BA0"/>
  </w:style>
  <w:style w:type="character" w:styleId="afc">
    <w:name w:val="Hyperlink"/>
    <w:basedOn w:val="a0"/>
    <w:uiPriority w:val="99"/>
    <w:unhideWhenUsed/>
    <w:rsid w:val="00176BA0"/>
    <w:rPr>
      <w:color w:val="0000FF"/>
      <w:u w:val="single"/>
    </w:rPr>
  </w:style>
  <w:style w:type="character" w:styleId="afd">
    <w:name w:val="annotation reference"/>
    <w:uiPriority w:val="99"/>
    <w:unhideWhenUsed/>
    <w:rsid w:val="00176BA0"/>
    <w:rPr>
      <w:sz w:val="16"/>
      <w:szCs w:val="16"/>
    </w:rPr>
  </w:style>
  <w:style w:type="paragraph" w:styleId="afe">
    <w:name w:val="annotation text"/>
    <w:basedOn w:val="a"/>
    <w:link w:val="aff"/>
    <w:uiPriority w:val="99"/>
    <w:unhideWhenUsed/>
    <w:rsid w:val="00176BA0"/>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176BA0"/>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176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176BA0"/>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176BA0"/>
    <w:rPr>
      <w:rFonts w:ascii="Times New Roman" w:hAnsi="Times New Roman"/>
      <w:color w:val="auto"/>
    </w:rPr>
  </w:style>
  <w:style w:type="paragraph" w:styleId="aff2">
    <w:name w:val="annotation subject"/>
    <w:basedOn w:val="afe"/>
    <w:next w:val="afe"/>
    <w:link w:val="aff3"/>
    <w:uiPriority w:val="99"/>
    <w:semiHidden/>
    <w:unhideWhenUsed/>
    <w:rsid w:val="00176BA0"/>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176BA0"/>
    <w:rPr>
      <w:rFonts w:ascii="Times New Roman" w:eastAsiaTheme="minorEastAsia" w:hAnsi="Times New Roman" w:cs="Times New Roman"/>
      <w:b/>
      <w:bCs/>
      <w:sz w:val="20"/>
      <w:szCs w:val="20"/>
      <w:lang w:val="x-none" w:eastAsia="ru-RU"/>
    </w:rPr>
  </w:style>
  <w:style w:type="table" w:styleId="aff4">
    <w:name w:val="Table Grid"/>
    <w:basedOn w:val="a1"/>
    <w:uiPriority w:val="39"/>
    <w:rsid w:val="00176BA0"/>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176BA0"/>
    <w:rPr>
      <w:rFonts w:eastAsiaTheme="minorEastAsia"/>
      <w:lang w:eastAsia="ru-RU"/>
    </w:rPr>
  </w:style>
  <w:style w:type="numbering" w:customStyle="1" w:styleId="111">
    <w:name w:val="Нет списка11"/>
    <w:next w:val="a2"/>
    <w:uiPriority w:val="99"/>
    <w:semiHidden/>
    <w:unhideWhenUsed/>
    <w:rsid w:val="00176BA0"/>
  </w:style>
  <w:style w:type="character" w:styleId="aff5">
    <w:name w:val="FollowedHyperlink"/>
    <w:basedOn w:val="a0"/>
    <w:uiPriority w:val="99"/>
    <w:semiHidden/>
    <w:unhideWhenUsed/>
    <w:rsid w:val="00176BA0"/>
    <w:rPr>
      <w:color w:val="954F72"/>
      <w:u w:val="single"/>
    </w:rPr>
  </w:style>
  <w:style w:type="paragraph" w:customStyle="1" w:styleId="xl67">
    <w:name w:val="xl67"/>
    <w:basedOn w:val="a"/>
    <w:rsid w:val="00176BA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176BA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176BA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176BA0"/>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176BA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176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176BA0"/>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176BA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176BA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176BA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4">
    <w:name w:val="xl94"/>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5">
    <w:name w:val="xl95"/>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6">
    <w:name w:val="xl96"/>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8">
    <w:name w:val="xl98"/>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176B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
    <w:rsid w:val="00176BA0"/>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176B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
    <w:rsid w:val="00176B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176B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176B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2">
    <w:name w:val="xl112"/>
    <w:basedOn w:val="a"/>
    <w:rsid w:val="00176B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3">
    <w:name w:val="xl113"/>
    <w:basedOn w:val="a"/>
    <w:rsid w:val="00176B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176B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msonormal0">
    <w:name w:val="msonormal"/>
    <w:basedOn w:val="a"/>
    <w:rsid w:val="00176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176BA0"/>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176BA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5">
    <w:name w:val="xl65"/>
    <w:basedOn w:val="a"/>
    <w:rsid w:val="00176BA0"/>
    <w:pPr>
      <w:pBdr>
        <w:left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176B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rsid w:val="00176BA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7">
    <w:name w:val="xl117"/>
    <w:basedOn w:val="a"/>
    <w:rsid w:val="00176BA0"/>
    <w:pPr>
      <w:pBdr>
        <w:left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8">
    <w:name w:val="xl118"/>
    <w:basedOn w:val="a"/>
    <w:rsid w:val="00176BA0"/>
    <w:pPr>
      <w:pBdr>
        <w:left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176BA0"/>
    <w:pPr>
      <w:pBdr>
        <w:left w:val="single" w:sz="4" w:space="0" w:color="auto"/>
        <w:right w:val="single" w:sz="8"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0">
    <w:name w:val="xl120"/>
    <w:basedOn w:val="a"/>
    <w:rsid w:val="00176BA0"/>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1">
    <w:name w:val="xl121"/>
    <w:basedOn w:val="a"/>
    <w:rsid w:val="00176BA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2">
    <w:name w:val="xl122"/>
    <w:basedOn w:val="a"/>
    <w:rsid w:val="00176BA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3">
    <w:name w:val="xl123"/>
    <w:basedOn w:val="a"/>
    <w:rsid w:val="00176BA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4">
    <w:name w:val="xl124"/>
    <w:basedOn w:val="a"/>
    <w:rsid w:val="00176BA0"/>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5">
    <w:name w:val="xl125"/>
    <w:basedOn w:val="a"/>
    <w:rsid w:val="00176BA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6">
    <w:name w:val="xl126"/>
    <w:basedOn w:val="a"/>
    <w:rsid w:val="00176BA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
    <w:rsid w:val="00176BA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
    <w:rsid w:val="00176BA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176BA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30">
    <w:name w:val="xl130"/>
    <w:basedOn w:val="a"/>
    <w:rsid w:val="00176B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176BA0"/>
    <w:pPr>
      <w:pBdr>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2">
    <w:name w:val="xl132"/>
    <w:basedOn w:val="a"/>
    <w:rsid w:val="00176BA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33">
    <w:name w:val="xl133"/>
    <w:basedOn w:val="a"/>
    <w:rsid w:val="00176B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4">
    <w:name w:val="xl134"/>
    <w:basedOn w:val="a"/>
    <w:rsid w:val="00176B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5">
    <w:name w:val="xl135"/>
    <w:basedOn w:val="a"/>
    <w:rsid w:val="00176BA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36">
    <w:name w:val="xl136"/>
    <w:basedOn w:val="a"/>
    <w:rsid w:val="00176BA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7">
    <w:name w:val="xl137"/>
    <w:basedOn w:val="a"/>
    <w:rsid w:val="00176BA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8">
    <w:name w:val="xl138"/>
    <w:basedOn w:val="a"/>
    <w:rsid w:val="00176BA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39">
    <w:name w:val="xl139"/>
    <w:basedOn w:val="a"/>
    <w:rsid w:val="00176BA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0">
    <w:name w:val="xl140"/>
    <w:basedOn w:val="a"/>
    <w:rsid w:val="00176BA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1">
    <w:name w:val="xl141"/>
    <w:basedOn w:val="a"/>
    <w:rsid w:val="00176BA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2">
    <w:name w:val="xl142"/>
    <w:basedOn w:val="a"/>
    <w:rsid w:val="00176BA0"/>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3">
    <w:name w:val="xl143"/>
    <w:basedOn w:val="a"/>
    <w:rsid w:val="00176BA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4">
    <w:name w:val="xl144"/>
    <w:basedOn w:val="a"/>
    <w:rsid w:val="00176BA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5">
    <w:name w:val="xl145"/>
    <w:basedOn w:val="a"/>
    <w:rsid w:val="00176BA0"/>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
    <w:rsid w:val="00176BA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
    <w:rsid w:val="00176BA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8">
    <w:name w:val="xl148"/>
    <w:basedOn w:val="a"/>
    <w:rsid w:val="00176BA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9">
    <w:name w:val="xl149"/>
    <w:basedOn w:val="a"/>
    <w:rsid w:val="00176BA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0">
    <w:name w:val="xl150"/>
    <w:basedOn w:val="a"/>
    <w:rsid w:val="00176BA0"/>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1">
    <w:name w:val="xl151"/>
    <w:basedOn w:val="a"/>
    <w:rsid w:val="00176BA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176BA0"/>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176BA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4">
    <w:name w:val="xl154"/>
    <w:basedOn w:val="a"/>
    <w:rsid w:val="00176BA0"/>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5">
    <w:name w:val="xl155"/>
    <w:basedOn w:val="a"/>
    <w:rsid w:val="00176BA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176B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7">
    <w:name w:val="xl157"/>
    <w:basedOn w:val="a"/>
    <w:rsid w:val="00176B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8">
    <w:name w:val="xl158"/>
    <w:basedOn w:val="a"/>
    <w:rsid w:val="00176B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9">
    <w:name w:val="xl159"/>
    <w:basedOn w:val="a"/>
    <w:rsid w:val="00176BA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0">
    <w:name w:val="xl160"/>
    <w:basedOn w:val="a"/>
    <w:rsid w:val="00176BA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2385</Words>
  <Characters>13600</Characters>
  <Application>Microsoft Office Word</Application>
  <DocSecurity>0</DocSecurity>
  <Lines>113</Lines>
  <Paragraphs>31</Paragraphs>
  <ScaleCrop>false</ScaleCrop>
  <Company/>
  <LinksUpToDate>false</LinksUpToDate>
  <CharactersWithSpaces>15954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Катерина</cp:lastModifiedBy>
  <cp:revision>2</cp:revision>
  <dcterms:created xsi:type="dcterms:W3CDTF">2021-08-26T14:35:00Z</dcterms:created>
  <dcterms:modified xsi:type="dcterms:W3CDTF">2021-08-26T14:35:00Z</dcterms:modified>
</cp:coreProperties>
</file>